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76695B6" w14:textId="448F6B22" w:rsidR="006A031B" w:rsidRPr="006A031B" w:rsidRDefault="006A031B" w:rsidP="006A031B">
      <w:pPr>
        <w:spacing w:before="100" w:beforeAutospacing="1" w:after="100" w:afterAutospacing="1"/>
        <w:rPr>
          <w:rFonts w:ascii="Times New Roman" w:eastAsia="Times New Roman" w:hAnsi="Times New Roman" w:cs="Times New Roman"/>
        </w:rPr>
      </w:pPr>
    </w:p>
    <w:p w14:paraId="658A4719" w14:textId="587894C2" w:rsidR="006A031B" w:rsidRPr="006A031B" w:rsidRDefault="006A031B" w:rsidP="006A031B">
      <w:pPr>
        <w:spacing w:before="100" w:beforeAutospacing="1" w:after="100" w:afterAutospacing="1"/>
        <w:rPr>
          <w:rFonts w:ascii="Times New Roman" w:eastAsia="Times New Roman" w:hAnsi="Times New Roman" w:cs="Times New Roman"/>
        </w:rPr>
      </w:pPr>
      <w:r w:rsidRPr="006A031B">
        <w:rPr>
          <w:rFonts w:ascii="ProximaNova" w:eastAsia="Times New Roman" w:hAnsi="ProximaNova" w:cs="Times New Roman"/>
          <w:b/>
          <w:bCs/>
          <w:sz w:val="22"/>
          <w:szCs w:val="22"/>
        </w:rPr>
        <w:t>Terminology around inclusive teaching</w:t>
      </w:r>
      <w:r w:rsidRPr="006A031B">
        <w:rPr>
          <w:rFonts w:ascii="ProximaNova" w:eastAsia="Times New Roman" w:hAnsi="ProximaNova" w:cs="Times New Roman"/>
          <w:sz w:val="22"/>
          <w:szCs w:val="22"/>
        </w:rPr>
        <w:t xml:space="preserve"> is constantly evolving. What follows is a non-exhaustive </w:t>
      </w:r>
      <w:proofErr w:type="spellStart"/>
      <w:r w:rsidRPr="006A031B">
        <w:rPr>
          <w:rFonts w:ascii="ProximaNova" w:eastAsia="Times New Roman" w:hAnsi="ProximaNova" w:cs="Times New Roman"/>
          <w:sz w:val="22"/>
          <w:szCs w:val="22"/>
        </w:rPr>
        <w:t>glossaryof</w:t>
      </w:r>
      <w:proofErr w:type="spellEnd"/>
      <w:r w:rsidRPr="006A031B">
        <w:rPr>
          <w:rFonts w:ascii="ProximaNova" w:eastAsia="Times New Roman" w:hAnsi="ProximaNova" w:cs="Times New Roman"/>
          <w:sz w:val="22"/>
          <w:szCs w:val="22"/>
        </w:rPr>
        <w:t xml:space="preserve"> terms and concepts that appear in the </w:t>
      </w:r>
      <w:r w:rsidRPr="006A031B">
        <w:rPr>
          <w:rFonts w:ascii="ProximaNova" w:eastAsia="Times New Roman" w:hAnsi="ProximaNova" w:cs="Times New Roman"/>
          <w:i/>
          <w:iCs/>
          <w:sz w:val="22"/>
          <w:szCs w:val="22"/>
        </w:rPr>
        <w:t>Guide for Inclusive Teaching at Columbia</w:t>
      </w:r>
      <w:r w:rsidRPr="006A031B">
        <w:rPr>
          <w:rFonts w:ascii="ProximaNova" w:eastAsia="Times New Roman" w:hAnsi="ProximaNova" w:cs="Times New Roman"/>
          <w:sz w:val="22"/>
          <w:szCs w:val="22"/>
        </w:rPr>
        <w:t>. For an up-to-date glossary, please visit the online version of the guide at</w:t>
      </w:r>
      <w:r>
        <w:rPr>
          <w:rFonts w:ascii="ProximaNova" w:eastAsia="Times New Roman" w:hAnsi="ProximaNova" w:cs="Times New Roman"/>
          <w:sz w:val="22"/>
          <w:szCs w:val="22"/>
        </w:rPr>
        <w:t xml:space="preserve"> </w:t>
      </w:r>
      <w:r w:rsidRPr="006A031B">
        <w:rPr>
          <w:rFonts w:ascii="ProximaNova" w:eastAsia="Times New Roman" w:hAnsi="ProximaNova" w:cs="Times New Roman"/>
          <w:b/>
          <w:bCs/>
          <w:sz w:val="22"/>
          <w:szCs w:val="22"/>
        </w:rPr>
        <w:t>https://ctl.columbia.edu/inclusiveteaching</w:t>
      </w:r>
      <w:r w:rsidRPr="006A031B">
        <w:rPr>
          <w:rFonts w:ascii="ProximaNova" w:eastAsia="Times New Roman" w:hAnsi="ProximaNova" w:cs="Times New Roman"/>
          <w:sz w:val="22"/>
          <w:szCs w:val="22"/>
        </w:rPr>
        <w:t xml:space="preserve">. </w:t>
      </w:r>
    </w:p>
    <w:p w14:paraId="33AF5946" w14:textId="500524A7" w:rsidR="006A031B" w:rsidRPr="006A031B" w:rsidRDefault="006A031B" w:rsidP="006A031B">
      <w:pPr>
        <w:spacing w:before="100" w:beforeAutospacing="1" w:after="100" w:afterAutospacing="1"/>
        <w:rPr>
          <w:rFonts w:ascii="Times New Roman" w:eastAsia="Times New Roman" w:hAnsi="Times New Roman" w:cs="Times New Roman"/>
        </w:rPr>
      </w:pPr>
      <w:r w:rsidRPr="006A031B">
        <w:rPr>
          <w:rFonts w:ascii="ProximaNova" w:eastAsia="Times New Roman" w:hAnsi="ProximaNova" w:cs="Times New Roman"/>
          <w:b/>
          <w:bCs/>
          <w:sz w:val="22"/>
          <w:szCs w:val="22"/>
        </w:rPr>
        <w:t>Accessibility</w:t>
      </w:r>
      <w:r w:rsidRPr="006A031B">
        <w:rPr>
          <w:rFonts w:ascii="ProximaNova" w:eastAsia="Times New Roman" w:hAnsi="ProximaNova" w:cs="Times New Roman"/>
          <w:sz w:val="22"/>
          <w:szCs w:val="22"/>
        </w:rPr>
        <w:t xml:space="preserve"> is the consideration of various barriers to full participation in teaching and learning activities. Accessible learning environments allow students with disabilities to “acquire the same information, engage in the same interactions, and enjoy the same services as students without disabilities, with substantially equivalent ease of use” (Center for Applied Special Technology). Components of accessibility could include accommodations for assignments, adjustments in physical space or with classroom technology, or providing alternative assessments. </w:t>
      </w:r>
    </w:p>
    <w:p w14:paraId="69009903" w14:textId="243CEAB7" w:rsidR="006A031B" w:rsidRPr="006A031B" w:rsidRDefault="006A031B" w:rsidP="006A031B">
      <w:pPr>
        <w:spacing w:before="100" w:beforeAutospacing="1" w:after="100" w:afterAutospacing="1"/>
        <w:rPr>
          <w:rFonts w:ascii="Times New Roman" w:eastAsia="Times New Roman" w:hAnsi="Times New Roman" w:cs="Times New Roman"/>
        </w:rPr>
      </w:pPr>
      <w:r w:rsidRPr="006A031B">
        <w:rPr>
          <w:rFonts w:ascii="ProximaNova" w:eastAsia="Times New Roman" w:hAnsi="ProximaNova" w:cs="Times New Roman"/>
          <w:b/>
          <w:bCs/>
          <w:sz w:val="22"/>
          <w:szCs w:val="22"/>
        </w:rPr>
        <w:t>Colorblind ideology</w:t>
      </w:r>
      <w:r w:rsidRPr="006A031B">
        <w:rPr>
          <w:rFonts w:ascii="ProximaNova" w:eastAsia="Times New Roman" w:hAnsi="ProximaNova" w:cs="Times New Roman"/>
          <w:sz w:val="22"/>
          <w:szCs w:val="22"/>
        </w:rPr>
        <w:t xml:space="preserve"> is a belief that assumes institutional racism and discrimination have been largely eradicated, and that “equal opportunity, one’s qualifications, not one’s color or ethnicity, should be</w:t>
      </w:r>
      <w:r>
        <w:rPr>
          <w:rFonts w:ascii="ProximaNova" w:eastAsia="Times New Roman" w:hAnsi="ProximaNova" w:cs="Times New Roman"/>
          <w:sz w:val="22"/>
          <w:szCs w:val="22"/>
        </w:rPr>
        <w:t xml:space="preserve"> </w:t>
      </w:r>
      <w:r w:rsidRPr="006A031B">
        <w:rPr>
          <w:rFonts w:ascii="ProximaNova" w:eastAsia="Times New Roman" w:hAnsi="ProximaNova" w:cs="Times New Roman"/>
          <w:sz w:val="22"/>
          <w:szCs w:val="22"/>
        </w:rPr>
        <w:t xml:space="preserve">the mechanism by which upward mobility is achieved” (Gallagher, 2003, 22). This belief can lead to a dismissal of social and cultural factors still affecting many people of color, as well as a rejection of policies that attempt to address existing inequalities (e.g., affirmative action). </w:t>
      </w:r>
    </w:p>
    <w:p w14:paraId="5308FCD6" w14:textId="59D82D5D" w:rsidR="006A031B" w:rsidRPr="006A031B" w:rsidRDefault="006A031B" w:rsidP="006A031B">
      <w:pPr>
        <w:spacing w:before="100" w:beforeAutospacing="1" w:after="100" w:afterAutospacing="1"/>
        <w:rPr>
          <w:rFonts w:ascii="Times New Roman" w:eastAsia="Times New Roman" w:hAnsi="Times New Roman" w:cs="Times New Roman"/>
        </w:rPr>
      </w:pPr>
      <w:r w:rsidRPr="006A031B">
        <w:rPr>
          <w:rFonts w:ascii="ProximaNova" w:eastAsia="Times New Roman" w:hAnsi="ProximaNova" w:cs="Times New Roman"/>
          <w:b/>
          <w:bCs/>
          <w:sz w:val="22"/>
          <w:szCs w:val="22"/>
        </w:rPr>
        <w:t>Course climate</w:t>
      </w:r>
      <w:r w:rsidRPr="006A031B">
        <w:rPr>
          <w:rFonts w:ascii="ProximaNova" w:eastAsia="Times New Roman" w:hAnsi="ProximaNova" w:cs="Times New Roman"/>
          <w:sz w:val="22"/>
          <w:szCs w:val="22"/>
        </w:rPr>
        <w:t xml:space="preserve"> is the “intellectual, social, emotional, and physical environments in which our students learn. Climate is determined by a constellation of interacting factors that include faculty-student interaction, the tone instructors set, instances of stereotyping or tokenism, the course demographics (for example, relative size of racial and other social groups enrolled in the course), student-student interaction, and the range of perspectives represented in the course content and materials. All of these factors can operate outside as well as inside the classroom” (Ambrose et al., 2010, 170). </w:t>
      </w:r>
    </w:p>
    <w:p w14:paraId="7EBDD1CC" w14:textId="5ADBBE1E" w:rsidR="006A031B" w:rsidRPr="006A031B" w:rsidRDefault="006A031B" w:rsidP="006A031B">
      <w:pPr>
        <w:spacing w:before="100" w:beforeAutospacing="1" w:after="100" w:afterAutospacing="1"/>
        <w:rPr>
          <w:rFonts w:ascii="Times New Roman" w:eastAsia="Times New Roman" w:hAnsi="Times New Roman" w:cs="Times New Roman"/>
        </w:rPr>
      </w:pPr>
      <w:r w:rsidRPr="006A031B">
        <w:rPr>
          <w:rFonts w:ascii="ProximaNova" w:eastAsia="Times New Roman" w:hAnsi="ProximaNova" w:cs="Times New Roman"/>
          <w:b/>
          <w:bCs/>
          <w:sz w:val="22"/>
          <w:szCs w:val="22"/>
        </w:rPr>
        <w:t>Cultural learning assumptions</w:t>
      </w:r>
      <w:r w:rsidRPr="006A031B">
        <w:rPr>
          <w:rFonts w:ascii="ProximaNova" w:eastAsia="Times New Roman" w:hAnsi="ProximaNova" w:cs="Times New Roman"/>
          <w:sz w:val="22"/>
          <w:szCs w:val="22"/>
        </w:rPr>
        <w:t xml:space="preserve"> are often unspoken expectations shaped by affiliation with a broadly stable set of attitudes and beliefs shared by a group of people. These assumptions could give rise to habits of learning and assumptions about the ways teaching and learning are practiced (Gurung and Prieto, 2009). </w:t>
      </w:r>
    </w:p>
    <w:p w14:paraId="0437511C" w14:textId="4D0DE293" w:rsidR="006A031B" w:rsidRPr="006A031B" w:rsidRDefault="006A031B" w:rsidP="006A031B">
      <w:pPr>
        <w:spacing w:before="100" w:beforeAutospacing="1" w:after="100" w:afterAutospacing="1"/>
        <w:rPr>
          <w:rFonts w:ascii="Times New Roman" w:eastAsia="Times New Roman" w:hAnsi="Times New Roman" w:cs="Times New Roman"/>
        </w:rPr>
      </w:pPr>
      <w:r w:rsidRPr="006A031B">
        <w:rPr>
          <w:rFonts w:ascii="ProximaNova" w:eastAsia="Times New Roman" w:hAnsi="ProximaNova" w:cs="Times New Roman"/>
          <w:b/>
          <w:bCs/>
          <w:sz w:val="22"/>
          <w:szCs w:val="22"/>
        </w:rPr>
        <w:t>Growth mindset</w:t>
      </w:r>
      <w:r w:rsidRPr="006A031B">
        <w:rPr>
          <w:rFonts w:ascii="ProximaNova" w:eastAsia="Times New Roman" w:hAnsi="ProximaNova" w:cs="Times New Roman"/>
          <w:sz w:val="22"/>
          <w:szCs w:val="22"/>
        </w:rPr>
        <w:t xml:space="preserve"> is “based on the belief that...although people may differ in every which way—in their initial talents and aptitudes, interests, or temperaments— everyone can change and grow through application and experience” (Dweck, 2016, 7). This idea stands in contrast to a “fixed mindset,” characterized by the belief that one’s qualities are carved in stone and unchangeable. </w:t>
      </w:r>
    </w:p>
    <w:p w14:paraId="592F5904" w14:textId="77777777" w:rsidR="006A031B" w:rsidRPr="006A031B" w:rsidRDefault="006A031B" w:rsidP="006A031B">
      <w:pPr>
        <w:spacing w:before="100" w:beforeAutospacing="1" w:after="100" w:afterAutospacing="1"/>
        <w:rPr>
          <w:rFonts w:ascii="Times New Roman" w:eastAsia="Times New Roman" w:hAnsi="Times New Roman" w:cs="Times New Roman"/>
        </w:rPr>
      </w:pPr>
      <w:r w:rsidRPr="006A031B">
        <w:rPr>
          <w:rFonts w:ascii="ProximaNova" w:eastAsia="Times New Roman" w:hAnsi="ProximaNova" w:cs="Times New Roman"/>
          <w:b/>
          <w:bCs/>
          <w:sz w:val="22"/>
          <w:szCs w:val="22"/>
        </w:rPr>
        <w:t>Implicit bias</w:t>
      </w:r>
      <w:r w:rsidRPr="006A031B">
        <w:rPr>
          <w:rFonts w:ascii="ProximaNova" w:eastAsia="Times New Roman" w:hAnsi="ProximaNova" w:cs="Times New Roman"/>
          <w:sz w:val="22"/>
          <w:szCs w:val="22"/>
        </w:rPr>
        <w:t xml:space="preserve"> “refers to the attitudes or stereotypes that affect our understanding, actions, and decisions in an unconscious manner. These biases, which encompass both favorable and unfavorable assessments, are activated involuntarily and without an individual’s awareness or intentional control” (Kirwan Institute for the Study of Race and Ethnicity, 2015, 61). </w:t>
      </w:r>
    </w:p>
    <w:p w14:paraId="0876D0FD" w14:textId="77777777" w:rsidR="006A031B" w:rsidRPr="006A031B" w:rsidRDefault="006A031B" w:rsidP="006A031B">
      <w:pPr>
        <w:spacing w:before="100" w:beforeAutospacing="1" w:after="100" w:afterAutospacing="1"/>
        <w:rPr>
          <w:rFonts w:ascii="Times New Roman" w:eastAsia="Times New Roman" w:hAnsi="Times New Roman" w:cs="Times New Roman"/>
        </w:rPr>
      </w:pPr>
      <w:r w:rsidRPr="006A031B">
        <w:rPr>
          <w:rFonts w:ascii="ProximaNova" w:eastAsia="Times New Roman" w:hAnsi="ProximaNova" w:cs="Times New Roman"/>
          <w:b/>
          <w:bCs/>
          <w:sz w:val="22"/>
          <w:szCs w:val="22"/>
        </w:rPr>
        <w:t>Intercultural competency</w:t>
      </w:r>
      <w:r w:rsidRPr="006A031B">
        <w:rPr>
          <w:rFonts w:ascii="ProximaNova" w:eastAsia="Times New Roman" w:hAnsi="ProximaNova" w:cs="Times New Roman"/>
          <w:sz w:val="22"/>
          <w:szCs w:val="22"/>
        </w:rPr>
        <w:t xml:space="preserve"> is the “ability to communicate effectively and appropriately in intercultural situations, to shift frames of reference appropriately and adapt behavior to cultural context” (Deardorff, 2006, 249). </w:t>
      </w:r>
    </w:p>
    <w:p w14:paraId="5F181BA3" w14:textId="110729D0" w:rsidR="006A031B" w:rsidRPr="006A031B" w:rsidRDefault="006A031B" w:rsidP="006A031B">
      <w:pPr>
        <w:spacing w:before="100" w:beforeAutospacing="1" w:after="100" w:afterAutospacing="1"/>
        <w:rPr>
          <w:rFonts w:ascii="Times New Roman" w:eastAsia="Times New Roman" w:hAnsi="Times New Roman" w:cs="Times New Roman"/>
        </w:rPr>
      </w:pPr>
      <w:r w:rsidRPr="006A031B">
        <w:rPr>
          <w:rFonts w:ascii="ProximaNova" w:eastAsia="Times New Roman" w:hAnsi="ProximaNova" w:cs="Times New Roman"/>
          <w:b/>
          <w:bCs/>
          <w:sz w:val="22"/>
          <w:szCs w:val="22"/>
        </w:rPr>
        <w:t xml:space="preserve">Intersectionality </w:t>
      </w:r>
      <w:r w:rsidRPr="006A031B">
        <w:rPr>
          <w:rFonts w:ascii="ProximaNova" w:eastAsia="Times New Roman" w:hAnsi="ProximaNova" w:cs="Times New Roman"/>
          <w:sz w:val="22"/>
          <w:szCs w:val="22"/>
        </w:rPr>
        <w:t xml:space="preserve">is a concept used in critical theory to highlight the interconnected nature of socially constructed categories (such as race, class, and gender) as they apply to a given individual </w:t>
      </w:r>
      <w:r w:rsidRPr="006A031B">
        <w:rPr>
          <w:rFonts w:ascii="ProximaNova" w:eastAsia="Times New Roman" w:hAnsi="ProximaNova" w:cs="Times New Roman"/>
          <w:sz w:val="22"/>
          <w:szCs w:val="22"/>
        </w:rPr>
        <w:lastRenderedPageBreak/>
        <w:t xml:space="preserve">or group. This concept can be key to illuminating overlapping and interdependent systems of discrimination or disadvantage (Mitchell, Simmons, and </w:t>
      </w:r>
      <w:proofErr w:type="spellStart"/>
      <w:r w:rsidRPr="006A031B">
        <w:rPr>
          <w:rFonts w:ascii="ProximaNova" w:eastAsia="Times New Roman" w:hAnsi="ProximaNova" w:cs="Times New Roman"/>
          <w:sz w:val="22"/>
          <w:szCs w:val="22"/>
        </w:rPr>
        <w:t>Greyerbiehl</w:t>
      </w:r>
      <w:proofErr w:type="spellEnd"/>
      <w:r w:rsidRPr="006A031B">
        <w:rPr>
          <w:rFonts w:ascii="ProximaNova" w:eastAsia="Times New Roman" w:hAnsi="ProximaNova" w:cs="Times New Roman"/>
          <w:sz w:val="22"/>
          <w:szCs w:val="22"/>
        </w:rPr>
        <w:t xml:space="preserve">, 2014). </w:t>
      </w:r>
    </w:p>
    <w:p w14:paraId="3AE92424" w14:textId="77777777" w:rsidR="006A031B" w:rsidRPr="006A031B" w:rsidRDefault="006A031B" w:rsidP="006A031B">
      <w:pPr>
        <w:spacing w:before="100" w:beforeAutospacing="1" w:after="100" w:afterAutospacing="1"/>
        <w:rPr>
          <w:rFonts w:ascii="Times New Roman" w:eastAsia="Times New Roman" w:hAnsi="Times New Roman" w:cs="Times New Roman"/>
        </w:rPr>
      </w:pPr>
      <w:r w:rsidRPr="006A031B">
        <w:rPr>
          <w:rFonts w:ascii="ProximaNova" w:eastAsia="Times New Roman" w:hAnsi="ProximaNova" w:cs="Times New Roman"/>
          <w:b/>
          <w:bCs/>
          <w:sz w:val="22"/>
          <w:szCs w:val="22"/>
        </w:rPr>
        <w:t>Learner-centered</w:t>
      </w:r>
      <w:r w:rsidRPr="006A031B">
        <w:rPr>
          <w:rFonts w:ascii="ProximaNova" w:eastAsia="Times New Roman" w:hAnsi="ProximaNova" w:cs="Times New Roman"/>
          <w:sz w:val="22"/>
          <w:szCs w:val="22"/>
        </w:rPr>
        <w:t xml:space="preserve"> teaching calls for students to actively engage in their learning process and for faculty members to facilitate that process, rather than relying on faculty to do the “heavy lifting” (Weimer 2013). </w:t>
      </w:r>
    </w:p>
    <w:p w14:paraId="6246F74F" w14:textId="794DA1A8" w:rsidR="006A031B" w:rsidRPr="006A031B" w:rsidRDefault="006A031B" w:rsidP="006A031B">
      <w:pPr>
        <w:spacing w:before="100" w:beforeAutospacing="1" w:after="100" w:afterAutospacing="1"/>
        <w:rPr>
          <w:rFonts w:ascii="Times New Roman" w:eastAsia="Times New Roman" w:hAnsi="Times New Roman" w:cs="Times New Roman"/>
        </w:rPr>
      </w:pPr>
      <w:r w:rsidRPr="006A031B">
        <w:rPr>
          <w:rFonts w:ascii="ProximaNova" w:eastAsia="Times New Roman" w:hAnsi="ProximaNova" w:cs="Times New Roman"/>
          <w:b/>
          <w:bCs/>
          <w:sz w:val="22"/>
          <w:szCs w:val="22"/>
        </w:rPr>
        <w:t>Learning objectives</w:t>
      </w:r>
      <w:r w:rsidRPr="006A031B">
        <w:rPr>
          <w:rFonts w:ascii="ProximaNova" w:eastAsia="Times New Roman" w:hAnsi="ProximaNova" w:cs="Times New Roman"/>
          <w:sz w:val="22"/>
          <w:szCs w:val="22"/>
        </w:rPr>
        <w:t xml:space="preserve"> specify the knowledge, information, and skills instructors want students to have at the end of the course. Learning objectives are generally student-oriented (i.e., “at the end of this course, students should be able to _____”), focus on concrete actions and behaviors, and should be measurable. </w:t>
      </w:r>
    </w:p>
    <w:p w14:paraId="578A7FFE" w14:textId="28B9F879" w:rsidR="006A031B" w:rsidRPr="006A031B" w:rsidRDefault="006A031B" w:rsidP="006A031B">
      <w:pPr>
        <w:spacing w:before="100" w:beforeAutospacing="1" w:after="100" w:afterAutospacing="1"/>
        <w:rPr>
          <w:rFonts w:ascii="Times New Roman" w:eastAsia="Times New Roman" w:hAnsi="Times New Roman" w:cs="Times New Roman"/>
        </w:rPr>
      </w:pPr>
      <w:r w:rsidRPr="006A031B">
        <w:rPr>
          <w:rFonts w:ascii="ProximaNova" w:eastAsia="Times New Roman" w:hAnsi="ProximaNova" w:cs="Times New Roman"/>
          <w:b/>
          <w:bCs/>
          <w:sz w:val="22"/>
          <w:szCs w:val="22"/>
        </w:rPr>
        <w:t>Microaggressions</w:t>
      </w:r>
      <w:r w:rsidRPr="006A031B">
        <w:rPr>
          <w:rFonts w:ascii="ProximaNova" w:eastAsia="Times New Roman" w:hAnsi="ProximaNova" w:cs="Times New Roman"/>
          <w:sz w:val="22"/>
          <w:szCs w:val="22"/>
        </w:rPr>
        <w:t xml:space="preserve"> are “brief and commonplace</w:t>
      </w:r>
      <w:bookmarkStart w:id="0" w:name="_GoBack"/>
      <w:bookmarkEnd w:id="0"/>
      <w:r w:rsidRPr="006A031B">
        <w:rPr>
          <w:rFonts w:ascii="ProximaNova" w:eastAsia="Times New Roman" w:hAnsi="ProximaNova" w:cs="Times New Roman"/>
          <w:sz w:val="22"/>
          <w:szCs w:val="22"/>
        </w:rPr>
        <w:t xml:space="preserve">daily verbal, behavioral and environmental indignities, whether intentional or unintentional, that communicate hostile, derogatory, or negative racial slights and insults to the target person or group” (Sue et al., 2009, 183). While Sue et al.’s definition specifically indicates race as the focus of bias, the term has since been expanded to apply to a variety of identity factors, such as sexuality, gender, and ability. </w:t>
      </w:r>
    </w:p>
    <w:p w14:paraId="775D1B7F" w14:textId="77777777" w:rsidR="006A031B" w:rsidRPr="006A031B" w:rsidRDefault="006A031B" w:rsidP="006A031B">
      <w:pPr>
        <w:spacing w:before="100" w:beforeAutospacing="1" w:after="100" w:afterAutospacing="1"/>
        <w:rPr>
          <w:rFonts w:ascii="Times New Roman" w:eastAsia="Times New Roman" w:hAnsi="Times New Roman" w:cs="Times New Roman"/>
        </w:rPr>
      </w:pPr>
      <w:r w:rsidRPr="006A031B">
        <w:rPr>
          <w:rFonts w:ascii="ProximaNova" w:eastAsia="Times New Roman" w:hAnsi="ProximaNova" w:cs="Times New Roman"/>
          <w:b/>
          <w:bCs/>
          <w:sz w:val="22"/>
          <w:szCs w:val="22"/>
        </w:rPr>
        <w:t>Monocultural education</w:t>
      </w:r>
      <w:r w:rsidRPr="006A031B">
        <w:rPr>
          <w:rFonts w:ascii="ProximaNova" w:eastAsia="Times New Roman" w:hAnsi="ProximaNova" w:cs="Times New Roman"/>
          <w:sz w:val="22"/>
          <w:szCs w:val="22"/>
        </w:rPr>
        <w:t xml:space="preserve"> is “an education largely reflective of one reality and usually biased toward the dominant group” (Ginsberg and </w:t>
      </w:r>
      <w:proofErr w:type="spellStart"/>
      <w:r w:rsidRPr="006A031B">
        <w:rPr>
          <w:rFonts w:ascii="ProximaNova" w:eastAsia="Times New Roman" w:hAnsi="ProximaNova" w:cs="Times New Roman"/>
          <w:sz w:val="22"/>
          <w:szCs w:val="22"/>
        </w:rPr>
        <w:t>Wlodkowski</w:t>
      </w:r>
      <w:proofErr w:type="spellEnd"/>
      <w:r w:rsidRPr="006A031B">
        <w:rPr>
          <w:rFonts w:ascii="ProximaNova" w:eastAsia="Times New Roman" w:hAnsi="ProximaNova" w:cs="Times New Roman"/>
          <w:sz w:val="22"/>
          <w:szCs w:val="22"/>
        </w:rPr>
        <w:t xml:space="preserve">, 2009, 25). </w:t>
      </w:r>
    </w:p>
    <w:p w14:paraId="49F4CA60" w14:textId="77777777" w:rsidR="006A031B" w:rsidRPr="006A031B" w:rsidRDefault="006A031B" w:rsidP="006A031B">
      <w:pPr>
        <w:spacing w:before="100" w:beforeAutospacing="1" w:after="100" w:afterAutospacing="1"/>
        <w:rPr>
          <w:rFonts w:ascii="Times New Roman" w:eastAsia="Times New Roman" w:hAnsi="Times New Roman" w:cs="Times New Roman"/>
        </w:rPr>
      </w:pPr>
      <w:r w:rsidRPr="006A031B">
        <w:rPr>
          <w:rFonts w:ascii="ProximaNova" w:eastAsia="Times New Roman" w:hAnsi="ProximaNova" w:cs="Times New Roman"/>
          <w:b/>
          <w:bCs/>
          <w:sz w:val="22"/>
          <w:szCs w:val="22"/>
        </w:rPr>
        <w:t>Positionality</w:t>
      </w:r>
      <w:r w:rsidRPr="006A031B">
        <w:rPr>
          <w:rFonts w:ascii="ProximaNova" w:eastAsia="Times New Roman" w:hAnsi="ProximaNova" w:cs="Times New Roman"/>
          <w:sz w:val="22"/>
          <w:szCs w:val="22"/>
        </w:rPr>
        <w:t xml:space="preserve"> is the way one’s social location or position is assigned and negotiated as the result of combining various social factors or identities (e.g., race, sex, class, gender, ability, sexual orientation) (Hearn, 2012). </w:t>
      </w:r>
    </w:p>
    <w:p w14:paraId="01660BD8" w14:textId="323F970E" w:rsidR="006A031B" w:rsidRPr="006A031B" w:rsidRDefault="006A031B" w:rsidP="006A031B">
      <w:pPr>
        <w:spacing w:before="100" w:beforeAutospacing="1" w:after="100" w:afterAutospacing="1"/>
        <w:rPr>
          <w:rFonts w:ascii="Times New Roman" w:eastAsia="Times New Roman" w:hAnsi="Times New Roman" w:cs="Times New Roman"/>
        </w:rPr>
      </w:pPr>
      <w:r w:rsidRPr="006A031B">
        <w:rPr>
          <w:rFonts w:ascii="ProximaNova" w:eastAsia="Times New Roman" w:hAnsi="ProximaNova" w:cs="Times New Roman"/>
          <w:b/>
          <w:bCs/>
          <w:sz w:val="22"/>
          <w:szCs w:val="22"/>
        </w:rPr>
        <w:t>Rubrics</w:t>
      </w:r>
      <w:r w:rsidRPr="006A031B">
        <w:rPr>
          <w:rFonts w:ascii="ProximaNova" w:eastAsia="Times New Roman" w:hAnsi="ProximaNova" w:cs="Times New Roman"/>
          <w:sz w:val="22"/>
          <w:szCs w:val="22"/>
        </w:rPr>
        <w:t xml:space="preserve"> are “a scoring tool that lays out the specific expectations for an assignment. Rubrics divide an assignment into component parts and provide a detailed description of what constitutes acceptable or unacceptable levels of performance of each of those parts” (Stevens and Levi, 2013, 3). </w:t>
      </w:r>
    </w:p>
    <w:p w14:paraId="42E10901" w14:textId="432D8378" w:rsidR="006A031B" w:rsidRPr="006A031B" w:rsidRDefault="006A031B" w:rsidP="006A031B">
      <w:pPr>
        <w:spacing w:before="100" w:beforeAutospacing="1" w:after="100" w:afterAutospacing="1"/>
        <w:rPr>
          <w:rFonts w:ascii="Times New Roman" w:eastAsia="Times New Roman" w:hAnsi="Times New Roman" w:cs="Times New Roman"/>
        </w:rPr>
      </w:pPr>
      <w:r w:rsidRPr="006A031B">
        <w:rPr>
          <w:rFonts w:ascii="ProximaNova" w:eastAsia="Times New Roman" w:hAnsi="ProximaNova" w:cs="Times New Roman"/>
          <w:b/>
          <w:bCs/>
          <w:sz w:val="22"/>
          <w:szCs w:val="22"/>
        </w:rPr>
        <w:t>Stereotype threat</w:t>
      </w:r>
      <w:r w:rsidRPr="006A031B">
        <w:rPr>
          <w:rFonts w:ascii="ProximaNova" w:eastAsia="Times New Roman" w:hAnsi="ProximaNova" w:cs="Times New Roman"/>
          <w:sz w:val="22"/>
          <w:szCs w:val="22"/>
        </w:rPr>
        <w:t xml:space="preserve"> is defined as “being at risk</w:t>
      </w:r>
      <w:r>
        <w:rPr>
          <w:rFonts w:ascii="ProximaNova" w:eastAsia="Times New Roman" w:hAnsi="ProximaNova" w:cs="Times New Roman"/>
          <w:sz w:val="22"/>
          <w:szCs w:val="22"/>
        </w:rPr>
        <w:t xml:space="preserve"> </w:t>
      </w:r>
      <w:r w:rsidRPr="006A031B">
        <w:rPr>
          <w:rFonts w:ascii="ProximaNova" w:eastAsia="Times New Roman" w:hAnsi="ProximaNova" w:cs="Times New Roman"/>
          <w:sz w:val="22"/>
          <w:szCs w:val="22"/>
        </w:rPr>
        <w:t>of confirming, as a self-characteristic, a negative stereotype about one’s social group” (</w:t>
      </w:r>
      <w:proofErr w:type="spellStart"/>
      <w:r w:rsidRPr="006A031B">
        <w:rPr>
          <w:rFonts w:ascii="ProximaNova" w:eastAsia="Times New Roman" w:hAnsi="ProximaNova" w:cs="Times New Roman"/>
          <w:sz w:val="22"/>
          <w:szCs w:val="22"/>
        </w:rPr>
        <w:t>Stroessner</w:t>
      </w:r>
      <w:proofErr w:type="spellEnd"/>
      <w:r>
        <w:rPr>
          <w:rFonts w:ascii="ProximaNova" w:eastAsia="Times New Roman" w:hAnsi="ProximaNova" w:cs="Times New Roman"/>
          <w:sz w:val="22"/>
          <w:szCs w:val="22"/>
        </w:rPr>
        <w:t xml:space="preserve"> </w:t>
      </w:r>
      <w:r w:rsidRPr="006A031B">
        <w:rPr>
          <w:rFonts w:ascii="ProximaNova" w:eastAsia="Times New Roman" w:hAnsi="ProximaNova" w:cs="Times New Roman"/>
          <w:sz w:val="22"/>
          <w:szCs w:val="22"/>
        </w:rPr>
        <w:t>and Good, 2011, 1). Stereotype threat can occur related to many different facets of identity, including race, ethnicity, and gender. In educational settings, research has demonstrated students’ performance may be negatively impacted “by the awareness that one’s behavior might be viewed through the lens</w:t>
      </w:r>
      <w:r>
        <w:rPr>
          <w:rFonts w:ascii="ProximaNova" w:eastAsia="Times New Roman" w:hAnsi="ProximaNova" w:cs="Times New Roman"/>
          <w:sz w:val="22"/>
          <w:szCs w:val="22"/>
        </w:rPr>
        <w:t xml:space="preserve"> </w:t>
      </w:r>
      <w:r w:rsidRPr="006A031B">
        <w:rPr>
          <w:rFonts w:ascii="ProximaNova" w:eastAsia="Times New Roman" w:hAnsi="ProximaNova" w:cs="Times New Roman"/>
          <w:sz w:val="22"/>
          <w:szCs w:val="22"/>
        </w:rPr>
        <w:t>of stereotypes” if those identities (or stereotypes related to those identities) are highlighted prior to the performance (</w:t>
      </w:r>
      <w:proofErr w:type="spellStart"/>
      <w:r w:rsidRPr="006A031B">
        <w:rPr>
          <w:rFonts w:ascii="ProximaNova" w:eastAsia="Times New Roman" w:hAnsi="ProximaNova" w:cs="Times New Roman"/>
          <w:sz w:val="22"/>
          <w:szCs w:val="22"/>
        </w:rPr>
        <w:t>Stroessner</w:t>
      </w:r>
      <w:proofErr w:type="spellEnd"/>
      <w:r w:rsidRPr="006A031B">
        <w:rPr>
          <w:rFonts w:ascii="ProximaNova" w:eastAsia="Times New Roman" w:hAnsi="ProximaNova" w:cs="Times New Roman"/>
          <w:sz w:val="22"/>
          <w:szCs w:val="22"/>
        </w:rPr>
        <w:t xml:space="preserve"> and Good, 2011). Situations that highlight one’s social identity factors (e.g., asking demographic questions before an assessment) can activate stereotype threat. </w:t>
      </w:r>
    </w:p>
    <w:p w14:paraId="4E23334C" w14:textId="20BD54D7" w:rsidR="006A031B" w:rsidRPr="006A031B" w:rsidRDefault="006A031B" w:rsidP="006A031B">
      <w:pPr>
        <w:spacing w:before="100" w:beforeAutospacing="1" w:after="100" w:afterAutospacing="1"/>
        <w:rPr>
          <w:rFonts w:ascii="Times New Roman" w:eastAsia="Times New Roman" w:hAnsi="Times New Roman" w:cs="Times New Roman"/>
        </w:rPr>
      </w:pPr>
      <w:r w:rsidRPr="006A031B">
        <w:rPr>
          <w:rFonts w:ascii="ProximaNova" w:eastAsia="Times New Roman" w:hAnsi="ProximaNova" w:cs="Times New Roman"/>
          <w:b/>
          <w:bCs/>
          <w:sz w:val="22"/>
          <w:szCs w:val="22"/>
        </w:rPr>
        <w:t>Tokenism</w:t>
      </w:r>
      <w:r w:rsidRPr="006A031B">
        <w:rPr>
          <w:rFonts w:ascii="ProximaNova" w:eastAsia="Times New Roman" w:hAnsi="ProximaNova" w:cs="Times New Roman"/>
          <w:sz w:val="22"/>
          <w:szCs w:val="22"/>
        </w:rPr>
        <w:t xml:space="preserve"> is the practice of making a cursory or symbolic effort to employ inclusive practices to give</w:t>
      </w:r>
      <w:r>
        <w:rPr>
          <w:rFonts w:ascii="ProximaNova" w:eastAsia="Times New Roman" w:hAnsi="ProximaNova" w:cs="Times New Roman"/>
          <w:sz w:val="22"/>
          <w:szCs w:val="22"/>
        </w:rPr>
        <w:t xml:space="preserve"> </w:t>
      </w:r>
      <w:r w:rsidRPr="006A031B">
        <w:rPr>
          <w:rFonts w:ascii="ProximaNova" w:eastAsia="Times New Roman" w:hAnsi="ProximaNova" w:cs="Times New Roman"/>
          <w:sz w:val="22"/>
          <w:szCs w:val="22"/>
        </w:rPr>
        <w:t xml:space="preserve">the appearance of inclusiveness and fairness. In the classroom, this could involve an instructor asking a student to act as spokesperson for a certain identity group, or hiring a TA from an underrepresented group to assuage criticism about inclusiveness and diversity in the classroom. </w:t>
      </w:r>
    </w:p>
    <w:p w14:paraId="3773B7F0" w14:textId="4F79DC59" w:rsidR="006A031B" w:rsidRPr="006A031B" w:rsidRDefault="006A031B" w:rsidP="006A031B">
      <w:pPr>
        <w:spacing w:before="100" w:beforeAutospacing="1" w:after="100" w:afterAutospacing="1"/>
        <w:rPr>
          <w:rFonts w:ascii="Times New Roman" w:eastAsia="Times New Roman" w:hAnsi="Times New Roman" w:cs="Times New Roman"/>
        </w:rPr>
      </w:pPr>
      <w:r w:rsidRPr="006A031B">
        <w:rPr>
          <w:rFonts w:ascii="ProximaNova" w:eastAsia="Times New Roman" w:hAnsi="ProximaNova" w:cs="Times New Roman"/>
          <w:b/>
          <w:bCs/>
          <w:sz w:val="22"/>
          <w:szCs w:val="22"/>
        </w:rPr>
        <w:t>Underrepresented groups or individuals</w:t>
      </w:r>
      <w:r w:rsidRPr="006A031B">
        <w:rPr>
          <w:rFonts w:ascii="ProximaNova" w:eastAsia="Times New Roman" w:hAnsi="ProximaNova" w:cs="Times New Roman"/>
          <w:sz w:val="22"/>
          <w:szCs w:val="22"/>
        </w:rPr>
        <w:t xml:space="preserve"> have</w:t>
      </w:r>
      <w:r>
        <w:rPr>
          <w:rFonts w:ascii="ProximaNova" w:eastAsia="Times New Roman" w:hAnsi="ProximaNova" w:cs="Times New Roman"/>
          <w:sz w:val="22"/>
          <w:szCs w:val="22"/>
        </w:rPr>
        <w:t xml:space="preserve"> </w:t>
      </w:r>
      <w:r w:rsidRPr="006A031B">
        <w:rPr>
          <w:rFonts w:ascii="ProximaNova" w:eastAsia="Times New Roman" w:hAnsi="ProximaNova" w:cs="Times New Roman"/>
          <w:sz w:val="22"/>
          <w:szCs w:val="22"/>
        </w:rPr>
        <w:t xml:space="preserve">been shown to be underrepresented nationally in their fields relative to their number in the general population; typically refers to members of racial/ ethnic minority groups (African-American or Black, Hispanic or Latino, American Indians or Alaskan Natives, Native Hawaiians and other Pacific Islanders), and individuals with disabilities (National Institute of General Medical Sciences). </w:t>
      </w:r>
    </w:p>
    <w:p w14:paraId="54D3C5AE" w14:textId="77777777" w:rsidR="00FD439A" w:rsidRDefault="00FD439A"/>
    <w:sectPr w:rsidR="00FD439A" w:rsidSect="00CC16B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0000000000000000000"/>
    <w:charset w:val="00"/>
    <w:family w:val="roman"/>
    <w:pitch w:val="variable"/>
    <w:sig w:usb0="E0002EFF" w:usb1="C000785B" w:usb2="00000009" w:usb3="00000000" w:csb0="000001FF" w:csb1="00000000"/>
  </w:font>
  <w:font w:name="ProximaNova">
    <w:altName w:val="Cambria"/>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9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031B"/>
    <w:rsid w:val="006A031B"/>
    <w:rsid w:val="006A4C2B"/>
    <w:rsid w:val="00CC16BF"/>
    <w:rsid w:val="00FD439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E7C115D"/>
  <w15:chartTrackingRefBased/>
  <w15:docId w15:val="{BFB73FEB-9503-914D-B767-F24FE03431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A031B"/>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1152149">
      <w:bodyDiv w:val="1"/>
      <w:marLeft w:val="0"/>
      <w:marRight w:val="0"/>
      <w:marTop w:val="0"/>
      <w:marBottom w:val="0"/>
      <w:divBdr>
        <w:top w:val="none" w:sz="0" w:space="0" w:color="auto"/>
        <w:left w:val="none" w:sz="0" w:space="0" w:color="auto"/>
        <w:bottom w:val="none" w:sz="0" w:space="0" w:color="auto"/>
        <w:right w:val="none" w:sz="0" w:space="0" w:color="auto"/>
      </w:divBdr>
      <w:divsChild>
        <w:div w:id="1911884122">
          <w:marLeft w:val="0"/>
          <w:marRight w:val="0"/>
          <w:marTop w:val="0"/>
          <w:marBottom w:val="0"/>
          <w:divBdr>
            <w:top w:val="none" w:sz="0" w:space="0" w:color="auto"/>
            <w:left w:val="none" w:sz="0" w:space="0" w:color="auto"/>
            <w:bottom w:val="none" w:sz="0" w:space="0" w:color="auto"/>
            <w:right w:val="none" w:sz="0" w:space="0" w:color="auto"/>
          </w:divBdr>
          <w:divsChild>
            <w:div w:id="1954433844">
              <w:marLeft w:val="0"/>
              <w:marRight w:val="0"/>
              <w:marTop w:val="0"/>
              <w:marBottom w:val="0"/>
              <w:divBdr>
                <w:top w:val="none" w:sz="0" w:space="0" w:color="auto"/>
                <w:left w:val="none" w:sz="0" w:space="0" w:color="auto"/>
                <w:bottom w:val="none" w:sz="0" w:space="0" w:color="auto"/>
                <w:right w:val="none" w:sz="0" w:space="0" w:color="auto"/>
              </w:divBdr>
              <w:divsChild>
                <w:div w:id="1908488314">
                  <w:marLeft w:val="0"/>
                  <w:marRight w:val="0"/>
                  <w:marTop w:val="0"/>
                  <w:marBottom w:val="0"/>
                  <w:divBdr>
                    <w:top w:val="none" w:sz="0" w:space="0" w:color="auto"/>
                    <w:left w:val="none" w:sz="0" w:space="0" w:color="auto"/>
                    <w:bottom w:val="none" w:sz="0" w:space="0" w:color="auto"/>
                    <w:right w:val="none" w:sz="0" w:space="0" w:color="auto"/>
                  </w:divBdr>
                </w:div>
                <w:div w:id="919874733">
                  <w:marLeft w:val="0"/>
                  <w:marRight w:val="0"/>
                  <w:marTop w:val="0"/>
                  <w:marBottom w:val="0"/>
                  <w:divBdr>
                    <w:top w:val="none" w:sz="0" w:space="0" w:color="auto"/>
                    <w:left w:val="none" w:sz="0" w:space="0" w:color="auto"/>
                    <w:bottom w:val="none" w:sz="0" w:space="0" w:color="auto"/>
                    <w:right w:val="none" w:sz="0" w:space="0" w:color="auto"/>
                  </w:divBdr>
                </w:div>
              </w:divsChild>
            </w:div>
            <w:div w:id="1164392265">
              <w:marLeft w:val="0"/>
              <w:marRight w:val="0"/>
              <w:marTop w:val="0"/>
              <w:marBottom w:val="0"/>
              <w:divBdr>
                <w:top w:val="none" w:sz="0" w:space="0" w:color="auto"/>
                <w:left w:val="none" w:sz="0" w:space="0" w:color="auto"/>
                <w:bottom w:val="none" w:sz="0" w:space="0" w:color="auto"/>
                <w:right w:val="none" w:sz="0" w:space="0" w:color="auto"/>
              </w:divBdr>
              <w:divsChild>
                <w:div w:id="961955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4061575">
          <w:marLeft w:val="0"/>
          <w:marRight w:val="0"/>
          <w:marTop w:val="0"/>
          <w:marBottom w:val="0"/>
          <w:divBdr>
            <w:top w:val="none" w:sz="0" w:space="0" w:color="auto"/>
            <w:left w:val="none" w:sz="0" w:space="0" w:color="auto"/>
            <w:bottom w:val="none" w:sz="0" w:space="0" w:color="auto"/>
            <w:right w:val="none" w:sz="0" w:space="0" w:color="auto"/>
          </w:divBdr>
          <w:divsChild>
            <w:div w:id="1270701254">
              <w:marLeft w:val="0"/>
              <w:marRight w:val="0"/>
              <w:marTop w:val="0"/>
              <w:marBottom w:val="0"/>
              <w:divBdr>
                <w:top w:val="none" w:sz="0" w:space="0" w:color="auto"/>
                <w:left w:val="none" w:sz="0" w:space="0" w:color="auto"/>
                <w:bottom w:val="none" w:sz="0" w:space="0" w:color="auto"/>
                <w:right w:val="none" w:sz="0" w:space="0" w:color="auto"/>
              </w:divBdr>
              <w:divsChild>
                <w:div w:id="1097288105">
                  <w:marLeft w:val="0"/>
                  <w:marRight w:val="0"/>
                  <w:marTop w:val="0"/>
                  <w:marBottom w:val="0"/>
                  <w:divBdr>
                    <w:top w:val="none" w:sz="0" w:space="0" w:color="auto"/>
                    <w:left w:val="none" w:sz="0" w:space="0" w:color="auto"/>
                    <w:bottom w:val="none" w:sz="0" w:space="0" w:color="auto"/>
                    <w:right w:val="none" w:sz="0" w:space="0" w:color="auto"/>
                  </w:divBdr>
                </w:div>
                <w:div w:id="1963687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1027</Words>
  <Characters>5856</Characters>
  <Application>Microsoft Office Word</Application>
  <DocSecurity>0</DocSecurity>
  <Lines>48</Lines>
  <Paragraphs>13</Paragraphs>
  <ScaleCrop>false</ScaleCrop>
  <Company/>
  <LinksUpToDate>false</LinksUpToDate>
  <CharactersWithSpaces>6870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2019-08-23T20:32:00Z</dcterms:created>
  <dcterms:modified xsi:type="dcterms:W3CDTF">2019-08-23T20:32:00Z</dcterms:modified>
</cp:coreProperties>
</file>